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5465" w14:textId="217D97A4" w:rsidR="0017003D" w:rsidRPr="00DD4A2E" w:rsidRDefault="00DD4A2E" w:rsidP="00086D7E">
      <w:pPr>
        <w:jc w:val="both"/>
        <w:rPr>
          <w:b/>
          <w:bCs/>
        </w:rPr>
      </w:pPr>
      <w:r w:rsidRPr="00DD4A2E">
        <w:rPr>
          <w:b/>
          <w:bCs/>
        </w:rPr>
        <w:t>2019-09-17 CPI Bunker</w:t>
      </w:r>
    </w:p>
    <w:p w14:paraId="62CFF569" w14:textId="3E4EBD41" w:rsidR="00176B70" w:rsidRPr="000A27BE" w:rsidRDefault="00176B70" w:rsidP="00086D7E">
      <w:pPr>
        <w:jc w:val="both"/>
        <w:rPr>
          <w:sz w:val="18"/>
          <w:szCs w:val="18"/>
        </w:rPr>
      </w:pPr>
      <w:r w:rsidRPr="000A27BE">
        <w:rPr>
          <w:rFonts w:hint="eastAsia"/>
          <w:sz w:val="18"/>
          <w:szCs w:val="18"/>
        </w:rPr>
        <w:t>김준성</w:t>
      </w:r>
    </w:p>
    <w:p w14:paraId="6DBF3177" w14:textId="5AD98DAD" w:rsidR="00B45DA1" w:rsidRDefault="00B45DA1" w:rsidP="00086D7E">
      <w:pPr>
        <w:jc w:val="both"/>
      </w:pPr>
    </w:p>
    <w:p w14:paraId="671D11F8" w14:textId="0E03ED6F" w:rsidR="00B45DA1" w:rsidRDefault="00B45DA1" w:rsidP="00086D7E">
      <w:pPr>
        <w:jc w:val="both"/>
      </w:pPr>
      <w:r>
        <w:t>1. AEI (American Enterprise Institute)</w:t>
      </w:r>
    </w:p>
    <w:p w14:paraId="47B87C36" w14:textId="609465A2" w:rsidR="00B45DA1" w:rsidRPr="00B45DA1" w:rsidRDefault="00B45DA1" w:rsidP="00086D7E">
      <w:pPr>
        <w:jc w:val="both"/>
      </w:pPr>
      <w:r w:rsidRPr="00B45DA1">
        <w:rPr>
          <w:rFonts w:hint="eastAsia"/>
          <w:sz w:val="18"/>
          <w:szCs w:val="18"/>
        </w:rPr>
        <w:t>출처</w:t>
      </w:r>
      <w:r>
        <w:rPr>
          <w:rFonts w:hint="eastAsia"/>
        </w:rPr>
        <w:t xml:space="preserve"> </w:t>
      </w:r>
      <w:r>
        <w:t xml:space="preserve">: Derek Scissors, [ China’s Economic “Miracle” in Context ], </w:t>
      </w:r>
      <w:r w:rsidRPr="00B45DA1">
        <w:rPr>
          <w:sz w:val="18"/>
          <w:szCs w:val="18"/>
        </w:rPr>
        <w:t>2019</w:t>
      </w:r>
      <w:r w:rsidRPr="00B45DA1">
        <w:rPr>
          <w:rFonts w:hint="eastAsia"/>
          <w:sz w:val="18"/>
          <w:szCs w:val="18"/>
        </w:rPr>
        <w:t>년</w:t>
      </w:r>
      <w:r w:rsidRPr="00B45DA1">
        <w:rPr>
          <w:rFonts w:hint="eastAsia"/>
          <w:sz w:val="18"/>
          <w:szCs w:val="18"/>
        </w:rPr>
        <w:t xml:space="preserve"> </w:t>
      </w:r>
      <w:r w:rsidRPr="00B45DA1">
        <w:rPr>
          <w:sz w:val="18"/>
          <w:szCs w:val="18"/>
        </w:rPr>
        <w:t>8</w:t>
      </w:r>
      <w:r w:rsidRPr="00B45DA1">
        <w:rPr>
          <w:rFonts w:hint="eastAsia"/>
          <w:sz w:val="18"/>
          <w:szCs w:val="18"/>
        </w:rPr>
        <w:t>월</w:t>
      </w:r>
      <w:r>
        <w:rPr>
          <w:rFonts w:hint="eastAsia"/>
        </w:rPr>
        <w:t xml:space="preserve"> </w:t>
      </w:r>
    </w:p>
    <w:p w14:paraId="3E07A4D8" w14:textId="1C9759F4" w:rsidR="00176B70" w:rsidRDefault="002E7FB1" w:rsidP="00086D7E">
      <w:pPr>
        <w:jc w:val="both"/>
      </w:pPr>
      <w:hyperlink r:id="rId8" w:history="1">
        <w:r w:rsidR="00176B70" w:rsidRPr="00557811">
          <w:rPr>
            <w:rStyle w:val="Hyperlink"/>
          </w:rPr>
          <w:t>http://www.aei.org/publication/chinas-economic-miracle-in-context/</w:t>
        </w:r>
      </w:hyperlink>
    </w:p>
    <w:p w14:paraId="638DF405" w14:textId="77777777" w:rsidR="00176B70" w:rsidRDefault="00176B70" w:rsidP="00086D7E">
      <w:pPr>
        <w:jc w:val="both"/>
      </w:pPr>
    </w:p>
    <w:p w14:paraId="4BFC052F" w14:textId="3063A39F" w:rsidR="00550421" w:rsidRDefault="00176B70" w:rsidP="00086D7E">
      <w:pPr>
        <w:jc w:val="both"/>
      </w:pPr>
      <w:r>
        <w:t>1. Personal Income</w:t>
      </w:r>
    </w:p>
    <w:p w14:paraId="0E10C76C" w14:textId="381915D6" w:rsidR="000B2F23" w:rsidRDefault="000E1391" w:rsidP="00086D7E">
      <w:pPr>
        <w:ind w:firstLine="720"/>
        <w:jc w:val="both"/>
      </w:pPr>
      <w:r>
        <w:t xml:space="preserve">- </w:t>
      </w:r>
      <w:r w:rsidR="000B2F23">
        <w:t xml:space="preserve">GDP measures economic activity, but the reason of </w:t>
      </w:r>
      <w:r w:rsidR="00E11FE3">
        <w:t>large population can boost country’s GDP, it is poor measure of success. China is one of example</w:t>
      </w:r>
      <w:r w:rsidR="00D63D5B">
        <w:t xml:space="preserve"> (China’s GDP in 2017: $12.24t China’s GDP per capita in 2017: $8,826.99). However if China could sustain the most recent trend, it could be narrow income gap, according to combined evidence from other indicators say that is unimagined.</w:t>
      </w:r>
      <w:bookmarkStart w:id="0" w:name="_GoBack"/>
      <w:bookmarkEnd w:id="0"/>
    </w:p>
    <w:p w14:paraId="00648004" w14:textId="77777777" w:rsidR="000E1391" w:rsidRDefault="000E1391" w:rsidP="00086D7E">
      <w:pPr>
        <w:jc w:val="both"/>
      </w:pPr>
    </w:p>
    <w:p w14:paraId="702540F7" w14:textId="603A2BF4" w:rsidR="008516A6" w:rsidRDefault="00176B70" w:rsidP="00086D7E">
      <w:pPr>
        <w:jc w:val="both"/>
      </w:pPr>
      <w:r>
        <w:t>2. Agriculture Productively</w:t>
      </w:r>
    </w:p>
    <w:p w14:paraId="68685AF3" w14:textId="722E6C8B" w:rsidR="008516A6" w:rsidRDefault="008516A6" w:rsidP="00086D7E">
      <w:pPr>
        <w:jc w:val="both"/>
      </w:pPr>
      <w:r>
        <w:tab/>
        <w:t xml:space="preserve">- Agriculture productivity is the first cornerstone of development. It is tied both income levels for the bulk of the population at the time and development of a national labor market. As productivity improves, some farmers become unnecessary and can migrate if work is available in cities. </w:t>
      </w:r>
    </w:p>
    <w:p w14:paraId="3E112E06" w14:textId="5178A698" w:rsidR="00176B70" w:rsidRDefault="008516A6" w:rsidP="00086D7E">
      <w:pPr>
        <w:jc w:val="both"/>
      </w:pPr>
      <w:r>
        <w:tab/>
        <w:t xml:space="preserve">- </w:t>
      </w:r>
      <w:r w:rsidR="00727F79">
        <w:t>Despite the benefit of 17 more years of technological</w:t>
      </w:r>
      <w:r w:rsidR="00E75244">
        <w:t xml:space="preserve"> progress, yields are inferior to Korean agriculture at each step. Nonetheless, yields match Japan’s at reform +38 and are growing faster</w:t>
      </w:r>
      <w:r w:rsidR="00086D7E">
        <w:t xml:space="preserve"> - </w:t>
      </w:r>
      <w:r w:rsidR="00E75244">
        <w:t>Because China’s reconstruction is started in 1979</w:t>
      </w:r>
      <w:r w:rsidR="00086D7E">
        <w:t xml:space="preserve"> and it means China’s reform +38 is in 2017. Chinese agriculture productivity at china’s reform +38 had not stopped and could be compatible with becoming a rich country.</w:t>
      </w:r>
    </w:p>
    <w:p w14:paraId="36612B18" w14:textId="77777777" w:rsidR="00176B70" w:rsidRDefault="00176B70" w:rsidP="00086D7E">
      <w:pPr>
        <w:jc w:val="both"/>
      </w:pPr>
    </w:p>
    <w:p w14:paraId="2A73B988" w14:textId="161A83E3" w:rsidR="00176B70" w:rsidRDefault="00176B70" w:rsidP="00086D7E">
      <w:pPr>
        <w:jc w:val="both"/>
      </w:pPr>
      <w:r>
        <w:t>3. Labor Productivity</w:t>
      </w:r>
    </w:p>
    <w:p w14:paraId="0A6FBE69" w14:textId="06E301AC" w:rsidR="00A53F51" w:rsidRDefault="00086D7E" w:rsidP="00086D7E">
      <w:pPr>
        <w:jc w:val="both"/>
      </w:pPr>
      <w:r>
        <w:tab/>
        <w:t xml:space="preserve">- </w:t>
      </w:r>
      <w:r w:rsidR="00224391">
        <w:t xml:space="preserve">The quantitatively major factor in China’s rise is successful utilization of its huge labor force. However, </w:t>
      </w:r>
      <w:r w:rsidR="00A53F51">
        <w:t>China’s Life expectancy and aging labor force is much higher than Japan and South Korea at the start of economic expansion</w:t>
      </w:r>
      <w:r w:rsidR="00DC0AFE">
        <w:t xml:space="preserve"> (China: 67.3 Japan: 55.6 South Korea: 56)</w:t>
      </w:r>
      <w:r w:rsidR="00A53F51">
        <w:t>.</w:t>
      </w:r>
    </w:p>
    <w:p w14:paraId="6D3DAF6A" w14:textId="2D153402" w:rsidR="002917CE" w:rsidRDefault="00A53F51" w:rsidP="002917CE">
      <w:pPr>
        <w:ind w:firstLine="720"/>
        <w:jc w:val="both"/>
      </w:pPr>
      <w:r>
        <w:t xml:space="preserve">- </w:t>
      </w:r>
      <w:r w:rsidR="00DC0AFE">
        <w:t xml:space="preserve">When labor forces are decreased due to aging, it puts an ever-increasing premium on productivity. China can’t pay for it because the education is critical to productivity and China’s education levels are </w:t>
      </w:r>
      <w:r w:rsidR="002917CE">
        <w:t xml:space="preserve">inadequate. </w:t>
      </w:r>
      <w:r w:rsidR="00DC0AFE">
        <w:t>P</w:t>
      </w:r>
      <w:r>
        <w:t xml:space="preserve">revious mean years of schooling in China is where Japan was at reform +2 (8.5 years). </w:t>
      </w:r>
      <w:r w:rsidR="00DC0AFE">
        <w:t>And South Korea started where China did (5 years), but they vastly outperformed now (10.5 years).</w:t>
      </w:r>
    </w:p>
    <w:p w14:paraId="1DD3C474" w14:textId="77777777" w:rsidR="002917CE" w:rsidRDefault="002917CE" w:rsidP="00086D7E">
      <w:pPr>
        <w:jc w:val="both"/>
      </w:pPr>
    </w:p>
    <w:p w14:paraId="43F9EE0F" w14:textId="76A4032A" w:rsidR="00176B70" w:rsidRDefault="00176B70" w:rsidP="00086D7E">
      <w:pPr>
        <w:jc w:val="both"/>
      </w:pPr>
      <w:r>
        <w:t>4. Return on Capital</w:t>
      </w:r>
    </w:p>
    <w:p w14:paraId="537D695D" w14:textId="5CA1B864" w:rsidR="00820534" w:rsidRDefault="00F5040E" w:rsidP="00820534">
      <w:pPr>
        <w:jc w:val="both"/>
      </w:pPr>
      <w:r>
        <w:lastRenderedPageBreak/>
        <w:tab/>
        <w:t>- Although the start is unclear, both China and Japan at reform +20 is essentially comparable. Japan’s credit position started ge</w:t>
      </w:r>
      <w:r w:rsidR="00872F4E">
        <w:t xml:space="preserve">tting worse than China’s by reform +29 and, viewed isolation, looks quite poor at reform +38. However, </w:t>
      </w:r>
      <w:r w:rsidR="002E7FB1">
        <w:t>deterioration</w:t>
      </w:r>
      <w:r w:rsidR="00872F4E">
        <w:t xml:space="preserve"> in China’s implied return on capital from 2008 to 2017 (reform +28 to +38) is much worse than Japan’s for 1975 to 1984 (reform +28 to +38).</w:t>
      </w:r>
      <w:r w:rsidR="00820534">
        <w:t xml:space="preserve"> </w:t>
      </w:r>
    </w:p>
    <w:p w14:paraId="2714AB45" w14:textId="77777777" w:rsidR="00F5040E" w:rsidRDefault="00F5040E" w:rsidP="00086D7E">
      <w:pPr>
        <w:jc w:val="both"/>
      </w:pPr>
    </w:p>
    <w:p w14:paraId="0B658747" w14:textId="13E82038" w:rsidR="00176B70" w:rsidRDefault="00176B70" w:rsidP="00086D7E">
      <w:pPr>
        <w:jc w:val="both"/>
      </w:pPr>
      <w:r>
        <w:t>5. A Stab at Innovation</w:t>
      </w:r>
    </w:p>
    <w:p w14:paraId="20A12AAA" w14:textId="35F65AEB" w:rsidR="00176B70" w:rsidRDefault="00820534" w:rsidP="00086D7E">
      <w:pPr>
        <w:jc w:val="both"/>
      </w:pPr>
      <w:r>
        <w:tab/>
        <w:t>-</w:t>
      </w:r>
      <w:r w:rsidR="00C642F4">
        <w:t xml:space="preserve">  </w:t>
      </w:r>
      <w:r w:rsidR="00F71BA2">
        <w:t>R&amp;D (Research and Development) spending is a standard measurement of national innovation. On the data, the gap between three countries – South Korea, China and Japan – is small, but it shows at reform +38. That is to say, the data shows 1984 of Japan, 2000 of South Korea and 2017 of China.</w:t>
      </w:r>
    </w:p>
    <w:p w14:paraId="470ABBCB" w14:textId="40AFC5C0" w:rsidR="00F71BA2" w:rsidRDefault="00F71BA2" w:rsidP="00086D7E">
      <w:pPr>
        <w:jc w:val="both"/>
      </w:pPr>
      <w:r>
        <w:tab/>
        <w:t xml:space="preserve">- </w:t>
      </w:r>
      <w:r w:rsidR="004F2CCC">
        <w:t xml:space="preserve">Even though R&amp;D is no expectation and Chinese investment is unproductive, patent granted is a quality measure that potentially corrects for misleading quantity. However patents themselves can be misleading for various reasons. One of them is larger economies and </w:t>
      </w:r>
      <w:r w:rsidR="000A27BE">
        <w:t>more populous countries require more patents to drive economic progress.</w:t>
      </w:r>
    </w:p>
    <w:sectPr w:rsidR="00F71B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1965" w14:textId="77777777" w:rsidR="00386C35" w:rsidRDefault="00386C35" w:rsidP="00176B70">
      <w:pPr>
        <w:spacing w:after="0" w:line="240" w:lineRule="auto"/>
      </w:pPr>
      <w:r>
        <w:separator/>
      </w:r>
    </w:p>
  </w:endnote>
  <w:endnote w:type="continuationSeparator" w:id="0">
    <w:p w14:paraId="7152E5B6" w14:textId="77777777" w:rsidR="00386C35" w:rsidRDefault="00386C35" w:rsidP="0017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473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10BC6" w14:textId="14CF7F24" w:rsidR="002E7FB1" w:rsidRDefault="002E7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56027" w14:textId="77777777" w:rsidR="002E7FB1" w:rsidRDefault="002E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7D53" w14:textId="77777777" w:rsidR="00386C35" w:rsidRDefault="00386C35" w:rsidP="00176B70">
      <w:pPr>
        <w:spacing w:after="0" w:line="240" w:lineRule="auto"/>
      </w:pPr>
      <w:r>
        <w:separator/>
      </w:r>
    </w:p>
  </w:footnote>
  <w:footnote w:type="continuationSeparator" w:id="0">
    <w:p w14:paraId="1329E00D" w14:textId="77777777" w:rsidR="00386C35" w:rsidRDefault="00386C35" w:rsidP="0017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6AD"/>
    <w:multiLevelType w:val="hybridMultilevel"/>
    <w:tmpl w:val="201C50C4"/>
    <w:lvl w:ilvl="0" w:tplc="4BDE19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7144"/>
    <w:multiLevelType w:val="hybridMultilevel"/>
    <w:tmpl w:val="14C056D2"/>
    <w:lvl w:ilvl="0" w:tplc="198684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5C9"/>
    <w:multiLevelType w:val="hybridMultilevel"/>
    <w:tmpl w:val="E29AC250"/>
    <w:lvl w:ilvl="0" w:tplc="B83C5E6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22F59"/>
    <w:multiLevelType w:val="hybridMultilevel"/>
    <w:tmpl w:val="C5A61E64"/>
    <w:lvl w:ilvl="0" w:tplc="76AE80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A6B80"/>
    <w:multiLevelType w:val="hybridMultilevel"/>
    <w:tmpl w:val="8A9043F2"/>
    <w:lvl w:ilvl="0" w:tplc="FEC683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5D4E"/>
    <w:multiLevelType w:val="hybridMultilevel"/>
    <w:tmpl w:val="92264F0A"/>
    <w:lvl w:ilvl="0" w:tplc="E55231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3D"/>
    <w:rsid w:val="00086D7E"/>
    <w:rsid w:val="000A27BE"/>
    <w:rsid w:val="000B2F23"/>
    <w:rsid w:val="000E1391"/>
    <w:rsid w:val="0017003D"/>
    <w:rsid w:val="00176B70"/>
    <w:rsid w:val="002172E4"/>
    <w:rsid w:val="00224391"/>
    <w:rsid w:val="00265C4C"/>
    <w:rsid w:val="002917CE"/>
    <w:rsid w:val="002E7FB1"/>
    <w:rsid w:val="00386C35"/>
    <w:rsid w:val="00413FD7"/>
    <w:rsid w:val="004F2CCC"/>
    <w:rsid w:val="00550421"/>
    <w:rsid w:val="00566EF0"/>
    <w:rsid w:val="005D4BB9"/>
    <w:rsid w:val="00624AC2"/>
    <w:rsid w:val="00727F79"/>
    <w:rsid w:val="007A4CD4"/>
    <w:rsid w:val="00820534"/>
    <w:rsid w:val="00840C68"/>
    <w:rsid w:val="008516A6"/>
    <w:rsid w:val="00872F4E"/>
    <w:rsid w:val="00A53F51"/>
    <w:rsid w:val="00B45DA1"/>
    <w:rsid w:val="00B47563"/>
    <w:rsid w:val="00C642F4"/>
    <w:rsid w:val="00CE78D9"/>
    <w:rsid w:val="00D4730A"/>
    <w:rsid w:val="00D63D5B"/>
    <w:rsid w:val="00DC0AFE"/>
    <w:rsid w:val="00DD4A2E"/>
    <w:rsid w:val="00E11FE3"/>
    <w:rsid w:val="00E75244"/>
    <w:rsid w:val="00F5040E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12D6"/>
  <w15:chartTrackingRefBased/>
  <w15:docId w15:val="{D094EFBF-BF26-4F13-A2E7-1E51867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0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70"/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70"/>
  </w:style>
  <w:style w:type="paragraph" w:styleId="ListParagraph">
    <w:name w:val="List Paragraph"/>
    <w:basedOn w:val="Normal"/>
    <w:uiPriority w:val="34"/>
    <w:qFormat/>
    <w:rsid w:val="0055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org/publication/chinas-economic-miracle-in-contex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236647-B59D-448C-932D-4CB73BBC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Junsung</dc:creator>
  <cp:keywords/>
  <dc:description/>
  <cp:lastModifiedBy>Kim Junsung</cp:lastModifiedBy>
  <cp:revision>8</cp:revision>
  <dcterms:created xsi:type="dcterms:W3CDTF">2019-09-19T09:06:00Z</dcterms:created>
  <dcterms:modified xsi:type="dcterms:W3CDTF">2019-09-19T22:53:00Z</dcterms:modified>
</cp:coreProperties>
</file>